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9B0A5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6</w:t>
      </w:r>
    </w:p>
    <w:p w14:paraId="7DB10C1D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bCs/>
          <w:sz w:val="32"/>
          <w:szCs w:val="32"/>
        </w:rPr>
        <w:t>有限公司</w:t>
      </w:r>
    </w:p>
    <w:p w14:paraId="57C32A00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5-2026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</w:rPr>
        <w:t>重要节日、节气海报设计</w:t>
      </w:r>
    </w:p>
    <w:p w14:paraId="186AC5BD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比选评分标准</w:t>
      </w:r>
    </w:p>
    <w:p w14:paraId="2EEA52D7">
      <w:pPr>
        <w:spacing w:line="520" w:lineRule="exact"/>
        <w:jc w:val="center"/>
        <w:rPr>
          <w:rFonts w:hint="eastAsia" w:ascii="宋体" w:hAnsi="宋体" w:cs="宋体"/>
          <w:b/>
          <w:bCs/>
          <w:szCs w:val="21"/>
        </w:rPr>
      </w:pPr>
    </w:p>
    <w:p w14:paraId="7D04A6B2">
      <w:pPr>
        <w:pStyle w:val="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采用综合评分法，评分统计方法采用百分制（满分100分），将全部比选小组成员评分直接进行算术平均，小数点后保留2位。按评审后得分由高到低顺序排列，得分相同的，按报价由低到高顺序排列，得分且报价相同的，按项目运营方案优劣顺序排列，由比选小组确定成交供应商。</w:t>
      </w:r>
    </w:p>
    <w:p w14:paraId="628AF1E6"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4"/>
        </w:rPr>
      </w:pPr>
    </w:p>
    <w:p w14:paraId="296C24CB"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商务评估表</w:t>
      </w:r>
    </w:p>
    <w:p w14:paraId="6DEB4897"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</w:p>
    <w:p w14:paraId="103B434D">
      <w:pPr>
        <w:pStyle w:val="10"/>
        <w:ind w:left="0" w:leftChars="0" w:firstLine="0" w:firstLineChars="0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评分人：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Cs w:val="21"/>
        </w:rPr>
        <w:t xml:space="preserve">       被评单位：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日期：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5968"/>
        <w:gridCol w:w="945"/>
      </w:tblGrid>
      <w:tr w14:paraId="5227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04" w:type="dxa"/>
            <w:noWrap w:val="0"/>
            <w:vAlign w:val="center"/>
          </w:tcPr>
          <w:p w14:paraId="4444C291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 w14:paraId="7808A07D">
            <w:pPr>
              <w:pStyle w:val="10"/>
              <w:ind w:firstLine="0" w:firstLineChars="0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评分因素</w:t>
            </w:r>
          </w:p>
          <w:p w14:paraId="0B72BC62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noWrap w:val="0"/>
            <w:vAlign w:val="center"/>
          </w:tcPr>
          <w:p w14:paraId="52411AD1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968" w:type="dxa"/>
            <w:noWrap w:val="0"/>
            <w:vAlign w:val="center"/>
          </w:tcPr>
          <w:p w14:paraId="7AE51280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945" w:type="dxa"/>
            <w:noWrap w:val="0"/>
            <w:vAlign w:val="center"/>
          </w:tcPr>
          <w:p w14:paraId="19402E65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 w14:paraId="1D5A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4" w:type="dxa"/>
            <w:noWrap w:val="0"/>
            <w:vAlign w:val="center"/>
          </w:tcPr>
          <w:p w14:paraId="610CFB15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 w14:paraId="48D52CAB">
            <w:pPr>
              <w:widowControl/>
              <w:spacing w:line="280" w:lineRule="exact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公司资质</w:t>
            </w:r>
          </w:p>
          <w:p w14:paraId="16BC4CBA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778D3302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</w:t>
            </w:r>
          </w:p>
        </w:tc>
        <w:tc>
          <w:tcPr>
            <w:tcW w:w="5968" w:type="dxa"/>
            <w:noWrap w:val="0"/>
            <w:vAlign w:val="center"/>
          </w:tcPr>
          <w:p w14:paraId="0907990C"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Cs w:val="21"/>
              </w:rPr>
              <w:t>注册资本（</w:t>
            </w:r>
            <w:r>
              <w:rPr>
                <w:rFonts w:hint="eastAsia" w:cs="Tahom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cs="Tahoma"/>
                <w:b/>
                <w:bCs/>
                <w:color w:val="000000"/>
                <w:szCs w:val="21"/>
              </w:rPr>
              <w:t>分）：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注册资本大于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万元，得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分；大于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00万元小于等于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000万元得分3分；小于等于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00万元得2分。</w:t>
            </w:r>
          </w:p>
        </w:tc>
        <w:tc>
          <w:tcPr>
            <w:tcW w:w="945" w:type="dxa"/>
            <w:noWrap w:val="0"/>
            <w:vAlign w:val="center"/>
          </w:tcPr>
          <w:p w14:paraId="0A76752D"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  <w:tr w14:paraId="1326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04" w:type="dxa"/>
            <w:noWrap w:val="0"/>
            <w:vAlign w:val="center"/>
          </w:tcPr>
          <w:p w14:paraId="555C3F55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</w:t>
            </w:r>
          </w:p>
        </w:tc>
        <w:tc>
          <w:tcPr>
            <w:tcW w:w="1225" w:type="dxa"/>
            <w:noWrap w:val="0"/>
            <w:vAlign w:val="center"/>
          </w:tcPr>
          <w:p w14:paraId="50020384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履约能力</w:t>
            </w:r>
          </w:p>
          <w:p w14:paraId="32DEC96A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%）</w:t>
            </w:r>
          </w:p>
        </w:tc>
        <w:tc>
          <w:tcPr>
            <w:tcW w:w="720" w:type="dxa"/>
            <w:noWrap w:val="0"/>
            <w:vAlign w:val="center"/>
          </w:tcPr>
          <w:p w14:paraId="4603CEE8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</w:t>
            </w:r>
          </w:p>
        </w:tc>
        <w:tc>
          <w:tcPr>
            <w:tcW w:w="5968" w:type="dxa"/>
            <w:noWrap w:val="0"/>
            <w:vAlign w:val="center"/>
          </w:tcPr>
          <w:p w14:paraId="1C6DADF0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对外合作业绩（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分）：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参选方提供近三年以来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类似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合同案例。每提供一个合同（作）得2分，最高得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分。注：提供合同关键页复印件加盖公章，提供运维案例差，有充数嫌疑不得分。</w:t>
            </w:r>
          </w:p>
        </w:tc>
        <w:tc>
          <w:tcPr>
            <w:tcW w:w="945" w:type="dxa"/>
            <w:noWrap w:val="0"/>
            <w:vAlign w:val="center"/>
          </w:tcPr>
          <w:p w14:paraId="27A911A9"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  <w:tr w14:paraId="28C8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704" w:type="dxa"/>
            <w:noWrap w:val="0"/>
            <w:vAlign w:val="center"/>
          </w:tcPr>
          <w:p w14:paraId="709322BA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54E631DB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项目运营</w:t>
            </w:r>
          </w:p>
          <w:p w14:paraId="55001CDB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0%）</w:t>
            </w:r>
          </w:p>
        </w:tc>
        <w:tc>
          <w:tcPr>
            <w:tcW w:w="720" w:type="dxa"/>
            <w:noWrap w:val="0"/>
            <w:vAlign w:val="center"/>
          </w:tcPr>
          <w:p w14:paraId="4FC3DC98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0分</w:t>
            </w:r>
          </w:p>
        </w:tc>
        <w:tc>
          <w:tcPr>
            <w:tcW w:w="5968" w:type="dxa"/>
            <w:noWrap w:val="0"/>
            <w:vAlign w:val="center"/>
          </w:tcPr>
          <w:p w14:paraId="446A7B32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1、设计创意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（2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>符合现代审美需求，有较强视觉冲击力，绘图原创能力高。</w:t>
            </w:r>
          </w:p>
          <w:p w14:paraId="3D23FAAA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设计理念优秀，海报主题明确，内容积极向上，突出作品主题，具有时代感、表现力</w:t>
            </w:r>
            <w:r>
              <w:rPr>
                <w:rFonts w:hint="eastAsia" w:ascii="Times New Roman" w:hAnsi="Times New Roman"/>
                <w:szCs w:val="21"/>
              </w:rPr>
              <w:t>得2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 w14:paraId="4A8458B0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海报有合理的层次，主题表达清楚，能准确的传达信息</w:t>
            </w:r>
            <w:r>
              <w:rPr>
                <w:rFonts w:hint="eastAsia" w:ascii="Times New Roman" w:hAnsi="Times New Roman"/>
                <w:szCs w:val="21"/>
              </w:rPr>
              <w:t>得15分；</w:t>
            </w:r>
          </w:p>
          <w:p w14:paraId="103A1733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③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海报布局常规，缺乏创意</w:t>
            </w:r>
            <w:r>
              <w:rPr>
                <w:rFonts w:hint="eastAsia"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 w14:paraId="255FDAE4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④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</w:t>
            </w:r>
            <w:r>
              <w:rPr>
                <w:rFonts w:hint="eastAsia" w:ascii="Times New Roman" w:hAnsi="Times New Roman"/>
                <w:szCs w:val="21"/>
              </w:rPr>
              <w:t>不完整、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内容粗劣一般</w:t>
            </w:r>
            <w:r>
              <w:rPr>
                <w:rFonts w:hint="eastAsia"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 w14:paraId="096B3329"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2、结合程度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</w:p>
          <w:p w14:paraId="3745D0DD"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结合度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高，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且能巧妙运用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视觉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效果与产品相结合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突出产品功效，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使读者有较强的传播意愿得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 w14:paraId="5555B019"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合理结合产品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，但缺乏创新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度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 w14:paraId="1AFACAB8"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③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结合度低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分。</w:t>
            </w:r>
          </w:p>
          <w:p w14:paraId="33308F2D"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3、构图、配色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（1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</w:p>
          <w:p w14:paraId="0FBA337D"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色彩搭配完善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，视觉配色舒畅，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具有美感、协调性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 w14:paraId="7FDB7F75"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画面合理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配色适中，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但缺乏创新感得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 w14:paraId="386A804B"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 w14:paraId="1610E857">
      <w:pPr>
        <w:spacing w:line="520" w:lineRule="exact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 w14:paraId="04AAC1FF">
      <w:pPr>
        <w:pStyle w:val="10"/>
        <w:rPr>
          <w:rFonts w:hint="eastAsia" w:ascii="宋体" w:hAnsi="宋体" w:cs="宋体"/>
          <w:szCs w:val="21"/>
        </w:rPr>
      </w:pPr>
    </w:p>
    <w:p w14:paraId="1F77ED29">
      <w:pPr>
        <w:pStyle w:val="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</w:t>
      </w:r>
      <w:r>
        <w:rPr>
          <w:rFonts w:hint="eastAsia" w:ascii="宋体" w:hAnsi="宋体" w:cs="宋体"/>
          <w:szCs w:val="21"/>
          <w:lang w:val="en-US" w:eastAsia="zh-CN"/>
        </w:rPr>
        <w:t>海报设计</w:t>
      </w:r>
      <w:r>
        <w:rPr>
          <w:rFonts w:hint="eastAsia" w:ascii="宋体" w:hAnsi="宋体" w:cs="宋体"/>
          <w:szCs w:val="21"/>
        </w:rPr>
        <w:t>的单部报价最高限价为：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yellow"/>
        </w:rPr>
        <w:t>万元（含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yellow"/>
        </w:rPr>
        <w:t>万元）</w:t>
      </w:r>
      <w:r>
        <w:rPr>
          <w:rFonts w:hint="eastAsia" w:ascii="宋体" w:hAnsi="宋体" w:cs="宋体"/>
          <w:szCs w:val="21"/>
        </w:rPr>
        <w:t>，超出此范围或低于50%的报价，则参选价格无效。</w:t>
      </w:r>
    </w:p>
    <w:p w14:paraId="5F7BD95D">
      <w:pPr>
        <w:pStyle w:val="10"/>
        <w:rPr>
          <w:rFonts w:hint="eastAsia" w:ascii="宋体" w:hAnsi="宋体" w:cs="宋体"/>
          <w:szCs w:val="21"/>
        </w:rPr>
      </w:pPr>
    </w:p>
    <w:p w14:paraId="6FE7D5C0">
      <w:pPr>
        <w:pStyle w:val="10"/>
        <w:ind w:firstLine="0" w:firstLineChars="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价格评估表</w:t>
      </w:r>
    </w:p>
    <w:p w14:paraId="51E8FB88">
      <w:pPr>
        <w:pStyle w:val="10"/>
        <w:ind w:firstLine="0" w:firstLineChars="0"/>
        <w:rPr>
          <w:rFonts w:hint="eastAsia" w:ascii="宋体" w:hAnsi="宋体" w:cs="宋体"/>
          <w:b/>
          <w:sz w:val="28"/>
          <w:szCs w:val="28"/>
        </w:rPr>
      </w:pPr>
    </w:p>
    <w:p w14:paraId="1E99A504">
      <w:pPr>
        <w:pStyle w:val="10"/>
        <w:ind w:left="0" w:leftChars="0" w:firstLine="0" w:firstLineChars="0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评分人：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Cs w:val="21"/>
        </w:rPr>
        <w:t xml:space="preserve">       被评单位：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日期：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5938"/>
        <w:gridCol w:w="975"/>
      </w:tblGrid>
      <w:tr w14:paraId="36A4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4" w:type="dxa"/>
            <w:noWrap w:val="0"/>
            <w:vAlign w:val="center"/>
          </w:tcPr>
          <w:p w14:paraId="281E093F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 w14:paraId="48E12067">
            <w:pPr>
              <w:pStyle w:val="10"/>
              <w:ind w:firstLine="0" w:firstLineChars="0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评分因素</w:t>
            </w:r>
          </w:p>
          <w:p w14:paraId="14F8A4EC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noWrap w:val="0"/>
            <w:vAlign w:val="center"/>
          </w:tcPr>
          <w:p w14:paraId="1B7B179D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938" w:type="dxa"/>
            <w:noWrap w:val="0"/>
            <w:vAlign w:val="center"/>
          </w:tcPr>
          <w:p w14:paraId="61C371B2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975" w:type="dxa"/>
            <w:noWrap w:val="0"/>
            <w:vAlign w:val="center"/>
          </w:tcPr>
          <w:p w14:paraId="0966E20D"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 w14:paraId="6A00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704" w:type="dxa"/>
            <w:noWrap w:val="0"/>
            <w:vAlign w:val="center"/>
          </w:tcPr>
          <w:p w14:paraId="01E7CFD1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 w14:paraId="7FFC6687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参选价格（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15BBD4AC"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30分</w:t>
            </w:r>
          </w:p>
        </w:tc>
        <w:tc>
          <w:tcPr>
            <w:tcW w:w="5938" w:type="dxa"/>
            <w:noWrap w:val="0"/>
            <w:vAlign w:val="center"/>
          </w:tcPr>
          <w:p w14:paraId="2B4A805B"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对采购需求文件做出实质性响应的所有合格参选公司中，采用低价优先法计算，即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满足采购文件要求且参选价格最低的参选报价为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评选基准价</w:t>
            </w:r>
            <w:r>
              <w:rPr>
                <w:rFonts w:hint="eastAsia" w:ascii="Times New Roman" w:hAnsi="Times New Roman"/>
                <w:szCs w:val="21"/>
              </w:rPr>
              <w:t>，其价格分为满分。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其他参选人</w:t>
            </w:r>
            <w:r>
              <w:rPr>
                <w:rFonts w:hint="eastAsia" w:ascii="Times New Roman" w:hAnsi="Times New Roman"/>
                <w:szCs w:val="21"/>
              </w:rPr>
              <w:t>的价格分统一按照下列公式计算：参选人价格得分＝（评选基准价 / 参选报价）× 价格满分基数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四舍五入，保留小数点后两位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 w14:paraId="566338DF"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 w14:paraId="22473993">
      <w:pPr>
        <w:pStyle w:val="10"/>
        <w:spacing w:line="280" w:lineRule="exact"/>
        <w:rPr>
          <w:rFonts w:ascii="Times New Roman" w:hAnsi="Times New Roman"/>
          <w:szCs w:val="21"/>
        </w:rPr>
      </w:pPr>
    </w:p>
    <w:p w14:paraId="0780A2CF">
      <w:pPr>
        <w:spacing w:line="360" w:lineRule="auto"/>
        <w:rPr>
          <w:rFonts w:ascii="Times New Roman" w:hAnsi="Times New Roman"/>
          <w:b/>
          <w:bCs/>
          <w:szCs w:val="21"/>
          <w:u w:val="single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15731ABB"/>
    <w:rsid w:val="000B3992"/>
    <w:rsid w:val="001574E9"/>
    <w:rsid w:val="001F36E8"/>
    <w:rsid w:val="004127A0"/>
    <w:rsid w:val="005F4B0A"/>
    <w:rsid w:val="00962FDC"/>
    <w:rsid w:val="00DF4484"/>
    <w:rsid w:val="00E44DE8"/>
    <w:rsid w:val="00EA4165"/>
    <w:rsid w:val="00FF4111"/>
    <w:rsid w:val="0320206D"/>
    <w:rsid w:val="03280EF8"/>
    <w:rsid w:val="05B35315"/>
    <w:rsid w:val="06F14CEC"/>
    <w:rsid w:val="0B47056F"/>
    <w:rsid w:val="0B8F3662"/>
    <w:rsid w:val="0E177135"/>
    <w:rsid w:val="10887040"/>
    <w:rsid w:val="125A3388"/>
    <w:rsid w:val="139F5836"/>
    <w:rsid w:val="14C02537"/>
    <w:rsid w:val="15731ABB"/>
    <w:rsid w:val="1E87044D"/>
    <w:rsid w:val="201D67A0"/>
    <w:rsid w:val="29134C31"/>
    <w:rsid w:val="291717EB"/>
    <w:rsid w:val="2AB01C37"/>
    <w:rsid w:val="2AF134EA"/>
    <w:rsid w:val="2C532E3B"/>
    <w:rsid w:val="2D030016"/>
    <w:rsid w:val="2D506C2A"/>
    <w:rsid w:val="2E133647"/>
    <w:rsid w:val="3173485A"/>
    <w:rsid w:val="3D3B4DBE"/>
    <w:rsid w:val="3FE414AE"/>
    <w:rsid w:val="40BE2826"/>
    <w:rsid w:val="41B94432"/>
    <w:rsid w:val="427E47F8"/>
    <w:rsid w:val="42EB01F3"/>
    <w:rsid w:val="4EAE66C9"/>
    <w:rsid w:val="4F8A584E"/>
    <w:rsid w:val="521E729D"/>
    <w:rsid w:val="55A71B48"/>
    <w:rsid w:val="5AA62D19"/>
    <w:rsid w:val="5C184DC5"/>
    <w:rsid w:val="5C3D640F"/>
    <w:rsid w:val="5CFA6AA2"/>
    <w:rsid w:val="5D4B2AE4"/>
    <w:rsid w:val="60A658F7"/>
    <w:rsid w:val="61487D8D"/>
    <w:rsid w:val="639C7528"/>
    <w:rsid w:val="651F2662"/>
    <w:rsid w:val="6AAD0BF4"/>
    <w:rsid w:val="6AF11007"/>
    <w:rsid w:val="6D953867"/>
    <w:rsid w:val="71C51186"/>
    <w:rsid w:val="74D27DFC"/>
    <w:rsid w:val="75DA4AC3"/>
    <w:rsid w:val="783A7F06"/>
    <w:rsid w:val="79915BEE"/>
    <w:rsid w:val="7FF27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0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902</Words>
  <Characters>952</Characters>
  <Lines>9</Lines>
  <Paragraphs>2</Paragraphs>
  <TotalTime>508</TotalTime>
  <ScaleCrop>false</ScaleCrop>
  <LinksUpToDate>false</LinksUpToDate>
  <CharactersWithSpaces>1107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Administrator</dc:creator>
  <cp:lastModifiedBy> L－SYing*</cp:lastModifiedBy>
  <cp:lastPrinted>2024-02-01T07:35:00Z</cp:lastPrinted>
  <dcterms:modified xsi:type="dcterms:W3CDTF">2025-05-26T08:10:17Z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1FE57FD6808F46149E834D2F06A6EE7F</vt:lpwstr>
  </property>
  <property fmtid="{D5CDD505-2E9C-101B-9397-08002B2CF9AE}" pid="4" name="KSOTemplateDocerSaveRecord">
    <vt:lpwstr>eyJoZGlkIjoiMDQxMjAxNDMwZDUyMTcxMTZmN2UyYmViMzAzYWVmYTYiLCJ1c2VySWQiOiI4OTgxOTQ0NzMifQ==</vt:lpwstr>
  </property>
</Properties>
</file>