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7"/>
        <w:tblW w:w="898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40"/>
        <w:gridCol w:w="555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条款内容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编列内容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分值构成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技术评估: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0·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分(权重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0%)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商务评估: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0·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分(权重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0%)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总分100分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评分因素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评分标准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 w:colFirst="0" w:colLast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技术部分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项目经验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参选方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团队曾经实操过中央或地方国资委及国有企业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市值管理咨询项目，相关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经验不少于3年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2023年以前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合同证明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每家项目得4分，最高得20分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券商实力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参选方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主要经营指标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收入、利润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买方资源（管理公募基金、资管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）排名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研究能力排名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资本运作排名等，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第一名得10分，第二名得7分，第三名得5分，其余得3分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人员配备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参选方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针对项目提供的人员配置以及核心人员资历以及进行综合打分，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配有保荐证人员，一人可得3分，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需提供资质证明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专项研究理解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参选方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对本项目研究背景、目标、意义理解的准确度进行评审，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第一名得10分，第二名得7分，第三名得5分，其余得3分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市值管理指标理解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参选方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对于以量化指标为主的国有上市公司市值管理体系有相关搭建经验，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有一家经验可得5分，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需提供相关证明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公司治理现状分析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参选方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有能力对上市公司治理现状分析的合理性进行评审，最高得5分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第二名得3分，其余得1分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协同工作机制建议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参选方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建立协同工作机制建议的可操作性和可持续性进行评审，最高得5分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第二名得3分，其余得1分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商务部分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投标报价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有效响应含税总价的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平均价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作为评标基准价，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低于或等于平均价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得满分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分，每高于基准价1%，扣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支付方式</w:t>
            </w:r>
          </w:p>
        </w:tc>
        <w:tc>
          <w:tcPr>
            <w:tcW w:w="5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根据支付节点内容，考虑资金流动性及成本效益等，支付方式完整可行，支付比例越靠后得分越高，按总比例得分。前两名得5分，其他得3分，不完整不得分。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</w:tr>
    </w:tbl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部门支付方式框架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支付比例越靠后 得分越高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第一年支付比例，乘以权重比1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第二年支付比例 *2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第三年支付比例 *3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按总比例得分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前两名得5分，其他得3分，不完整不得分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87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7A"/>
    <w:rsid w:val="00036CCD"/>
    <w:rsid w:val="000631BB"/>
    <w:rsid w:val="000760B8"/>
    <w:rsid w:val="0010597A"/>
    <w:rsid w:val="0034206D"/>
    <w:rsid w:val="0049557E"/>
    <w:rsid w:val="004B543D"/>
    <w:rsid w:val="005824E2"/>
    <w:rsid w:val="009C5419"/>
    <w:rsid w:val="00AB6CD2"/>
    <w:rsid w:val="00D438D9"/>
    <w:rsid w:val="00DB6970"/>
    <w:rsid w:val="00DE3A6F"/>
    <w:rsid w:val="00E04C7A"/>
    <w:rsid w:val="00EC5B40"/>
    <w:rsid w:val="00FB2BA7"/>
    <w:rsid w:val="00FB604D"/>
    <w:rsid w:val="09DC2019"/>
    <w:rsid w:val="0F0A3EA9"/>
    <w:rsid w:val="2B824FB1"/>
    <w:rsid w:val="43CB3BF2"/>
    <w:rsid w:val="4C602646"/>
    <w:rsid w:val="4D6440A9"/>
    <w:rsid w:val="524C298A"/>
    <w:rsid w:val="617145F5"/>
    <w:rsid w:val="6A6B31C9"/>
    <w:rsid w:val="7215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</Words>
  <Characters>508</Characters>
  <Lines>3</Lines>
  <Paragraphs>1</Paragraphs>
  <TotalTime>34</TotalTime>
  <ScaleCrop>false</ScaleCrop>
  <LinksUpToDate>false</LinksUpToDate>
  <CharactersWithSpaces>516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2024-12-18T09:40:00Z</dcterms:created>
  <dc:creator>Zack Lin</dc:creator>
  <cp:lastModifiedBy>Lenovo</cp:lastModifiedBy>
  <cp:lastPrinted>2025-02-13T08:39:32Z</cp:lastPrinted>
  <dcterms:modified xsi:type="dcterms:W3CDTF">2025-02-13T09:58:48Z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eyJoZGlkIjoiYjBkZTUyMGIxNDVhYzAwZTAwZmQ4OWQyOWE5OTZiM2QiLCJ1c2VySWQiOiI5MTAyMTA3ODgifQ==</vt:lpwstr>
  </property>
  <property fmtid="{D5CDD505-2E9C-101B-9397-08002B2CF9AE}" pid="3" name="KSOProductBuildVer">
    <vt:lpwstr>2052-10.8.2.6837</vt:lpwstr>
  </property>
  <property fmtid="{D5CDD505-2E9C-101B-9397-08002B2CF9AE}" pid="4" name="ICV">
    <vt:lpwstr>7B4A241B5ACE430DAE235436AE9579A7_13</vt:lpwstr>
  </property>
</Properties>
</file>